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19 vom 14. Oktober 2024</w:t>
      </w:r>
    </w:p>
    <w:p>
      <w:r>
        <w:t>VS Kantonsgericht, 2024-10-14, FR</w:t>
      </w:r>
    </w:p>
    <w:p>
      <w:r>
        <w:rPr>
          <w:b/>
        </w:rPr>
        <w:t xml:space="preserve">Quelle: </w:t>
      </w:r>
      <w:r>
        <w:t>https://mcp.opencaselaw.ch/entscheid/vs_gerichte_S1 23 19</w:t>
      </w:r>
    </w:p>
    <w:p>
      <w:r>
        <w:t>FR: VS_GERICHTE S1 23 19 du 14 octobre 2024</w:t>
      </w:r>
    </w:p>
    <w:p>
      <w:r>
        <w:t>IT: VS_GERICHTE S1 23 19 del 14 ottobre 2024</w:t>
      </w:r>
    </w:p>
    <w:p>
      <w:pPr>
        <w:pStyle w:val="Heading2"/>
      </w:pPr>
      <w:r>
        <w:t>Regeste</w:t>
      </w:r>
    </w:p>
    <w:p>
      <w:r>
        <w:t>S1 23 19 ARRÊT DU 14 OCTOBRE 2024 Tribunal cantonal du Valais Cour des assurances sociales Composition : Candido Prada, président ; Jean-Bernard Fournier et Christophe Joris, juges ; Simon Hausammann, greffier en la cause X _________, recourant, représenté par Maître Olivier Carré, avocat, Lausanne contre OFFICE CANTONAL AI DU VALAIS, intimé (art. 16 LPGA, art. 17 LAI et 28 aLAI ; refus de prestations AI, capacité de travail dans une activité adaptée, degré d’invalidité)</w:t>
      </w:r>
    </w:p>
    <w:p>
      <w:pPr>
        <w:pStyle w:val="Heading2"/>
      </w:pPr>
      <w:r>
        <w:t>Erwägungen</w:t>
      </w:r>
    </w:p>
    <w:p>
      <w:r>
        <w:rPr>
          <w:b/>
        </w:rPr>
        <w:t>E. 1</w:t>
      </w:r>
    </w:p>
    <w:p>
      <w:r>
        <w:t>let. a LAI ; art. 81a al. 1 LPJA). Il répond par ailleurs aux autres conditions formelles de recevabilité (art. 61 let. b LPGA), de sorte que la Cour doit entrer en matière.</w:t>
      </w:r>
    </w:p>
    <w:p>
      <w:r>
        <w:t>- 9 -</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30 janvier 2023, le présent recours à l'encontre de la décision du 13 décembre 2022 a été interjeté dans le délai légal de trente jours prolongé des féries de fin d’année (art. 38 al. 4 et 60 LPGA) et devant l'instance compétente (art. 56 et 57 LPGA et 69 al.</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149 II 320 consid. 3, 146 V 364 consid. 7.1 et 144 V 210 consid. 4.3.1).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(arrêts du Tribunal fédéral 9C_505/2024 du 26 juin 2024 consid. 2.2 et 8C_435/2023 du 27 mai 2024 consid. 4.2 [destiné à la publication]). En l’occurrence, si la décision entreprise est postérieure au 1er janvier 2022, le droit potentiel à la rente du recourant est pour sa part antérieur à cette date, si bien qu’il doit être examiné selon les normes en vigueur jusqu’au 31 décembre 2021. Les dispositions citées ci-après seront donc mentionnées, sauf avis contraire, dans leur teneur au 31 décembre 2021. Le droit potentiel à une rente d’invalidité à partir du 1er janvier 2022 doit pour sa part être examiné selon les nouvelles dispositions</w:t>
      </w:r>
    </w:p>
    <w:p>
      <w:r>
        <w:rPr>
          <w:b/>
        </w:rPr>
        <w:t>E. 2</w:t>
      </w:r>
    </w:p>
    <w:p>
      <w:r>
        <w:t>Le litige porte sur le refus de l’OAI d’octroyer des prestations AI au recourant. Ce dernier remet en cause la pleine capacité de travail qui lui a été reconnue dans une activité adaptée, ainsi que son taux d’invalidité.</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SMR de procéder à l’évaluation médicale visant à déterminer s’il s’agit d’une atteinte à la santé ayant valeur d’invalidité (art. 59 al. 2bis aLAI ; cf. CIIAI, ch. 1001 ss). Selon l’article 59 alinéa 2bis</w:t>
      </w:r>
    </w:p>
    <w:p>
      <w:r>
        <w:t>- 10 - aLAI,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w:t>
      </w:r>
    </w:p>
    <w:p>
      <w:r>
        <w:t>- 11 -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w:t>
      </w:r>
    </w:p>
    <w:p>
      <w:r>
        <w:t>- 12 -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w:t>
      </w:r>
    </w:p>
    <w:p>
      <w:r>
        <w:t>En l’occurrence, en se basant sur l’avis du SMR, l’intimé a retenu qu’une pleine capacité de travail était exigible du recourant entre le 30 juillet 2019 et le 10 novembre 2021, puis dès les 3 mars 2022.</w:t>
      </w:r>
    </w:p>
    <w:p>
      <w:r>
        <w:rPr>
          <w:b/>
        </w:rPr>
        <w:t>E. 3.1</w:t>
      </w:r>
    </w:p>
    <w:p>
      <w:r>
        <w:t>L’analyse du SMR est exempte de critique. On note premièrement qu’au niveau ostéo-articulaire, la situation était stabilisée depuis l’arthroscopie réalisée par le</w:t>
      </w:r>
    </w:p>
    <w:p>
      <w:r>
        <w:t>- 13 - Dr D _________ et son dernier examen du 30 juillet 2019 (cf. rapport final du 14 juillet 2020 du SMR ; pièce OAI 78). L’atteinte à la coiffe des rotateurs de l’épaule droite a ainsi justifié des limitations fonctionnelles, laissant subsister toute sorte d’activités légères ne sollicitant pas ce membre. La réadaptation effectuée dans le domaine de la petite mécanique a ensuite démontré que le recourant était en mesure de reprendre un emploi adapté à ses handicaps. Par ailleurs, l’expertise réalisée par le Dr L _________ dans le cadre de la procédure menée par la CNA avait uniquement pour finalité de déterminer l’origine dégénérative ou traumatique des troubles de l’intéressé au niveau de son épaule droite. Ces atteintes étant stabilisées et prises en considération dans la définition d’une activité adaptée, l’intimé n’avait aucune raison d’attendre les résultats de l’expertise du Dr L _________. Sur le plan psychique, un suivi avait été instauré auprès du Dr G _________ pour une symptomatologie anxieuse et dépressive réactionnelle à une situation sociale et somatique difficile (F43.21). Sur la base des rapports de ce psychiatre, on constate que la situation s’était améliorée déjà en 2020 et qu’elle ne justifiait pas une diminution de la capacité de travail du recourant, notamment en raison du fait qu’elle était réactionnelle au litige l’opposant à la CNA ainsi qu’à sa situation financière précaire, soit des facteurs étrangers à la définition de l’invalidité. Le Dr G _________ avait en outre mis en place une médication légère, suggérait une reprise d’activité et relevait que son suivi n’était pas régulier, son patient ne l’ayant pas consulté durant trois mois en raison d’un voyage au Portugal et de la pandémie de Covid-19 (cf. pièces OAI 52 et 72). Le SMR a en outre soumis ces troubles psychiques aux indicateurs jurisprudentiels pour conclure qu’ils ne présentaient aucun caractère de gravité (cf. rapport final du 14 juillet 2020 ; pièce OAI 78). Le 29 novembre 2021, le Dr G _________ a confirmé qu’une activité pouvait être reprise à temps plein après un temps d’adaptation de 50% (cf. pièce OAI 172), ce qui avait déjà été démontré par la mesure de réinsertion que l’intéressé a pu suivre à temps complet. Par la suite, les affections psychiques n’ont plus été au premier plan et le recourant n’a produit aucun avis médical faisant état d’une détérioration de sa santé psychique. Aucune diminution de la capacité de travail n’est par conséquent justifiée pour un motif psychiatrique.</w:t>
      </w:r>
    </w:p>
    <w:p>
      <w:r>
        <w:rPr>
          <w:b/>
        </w:rPr>
        <w:t>E. 3.2</w:t>
      </w:r>
    </w:p>
    <w:p>
      <w:r>
        <w:t>La principale atteinte affectant le recourant est d’ordre vasculaire. En effet, une fois ses troubles à l’épaule droite stabilisés, il a réussi à se réadapter dans une activité de la petite mécanique à travers plusieurs stages à plein temps du 1er mars 2021 au 9 février 2022 (avec une courte interruption en novembre 2021). A cette occasion, son attitude volontaire et intéressée a été mise en avant (cf. rapport final du 18 juin 2021 de la</w:t>
      </w:r>
    </w:p>
    <w:p>
      <w:r>
        <w:t>- 14 - Fondation St-Hubert ; pièce OAI 143). En faisant preuve de motivation et d’implication, il a dès lors été capable de répondre aux exigences professionnelles d’un ouvrier de production sans être gêné par ses limitations fonctionnelles (cf. rapport de formation pratique du 5 novembre 2021 ; pièce OAI 159). Lors de son second stage, commencé le 4 octobre 2021 auprès d’une entreprise de mécanique à M _________, les objectifs visant à s’intégrer dans l’entreprise et à répondre aux exigences du marché de l’emploi, ont été atteints (avec des performances évaluées à 70-80%). Cette mesure a cependant été interrompue en raison des complications survenues au niveau de sa jambe gauche (cf. rapport de job coaching du 10 mars 2022 ; pièce OAI 187). Les problèmes liés à la claudication du membre inférieur gauche ont pu être traités par les différentes interventions chirurgicales, le SMR retenant qu’une bonne revascularisation avait été retrouvée au début du mois de mars 2022 (cf. avis du 31 mai 2022 ; pièce OAI 199). La lettre de sortie du 22 février 2022 de l’Hôpital de Sion fait d’ailleurs état d’une évolution favorable avec un pontage prothétique perméable et un index de pression systolique augmenté (cf. pièce OAI 197). Ces troubles n’ont dès lors pas d’influence durable sur la capacité de travail du recourant et ont uniquement provoqué des arrêts de travail temporaires. De la même manière, les nouvelles opérations subies en décembre 2022 et janvier 2023, outre une brève incapacité de travail, n’ont pas entraîné de limitations supplémentaires restreignant durablement le recourant dans sa capacité à reprendre un emploi. Le Dr J _________ a au demeurant indiqué que l’évolution avait été favorable et qu’il n’existait aucune limitation sur le plan angiologique (cf. pièce OAI 222). Du reste, les différents suivis préconisés par ce médecin (angiologique, gastroscopique, cardiologique et pneumologique) ne justifient en l’état pas une diminution de la capacité de travail ; il n’a d’ailleurs émis aucun arrêt de travail y relatif. La Dresse H _________ était par conséquent fondée à retenir que ces nouvelles hospitalisations n’avaient apporté aucun élément médical nouveau susceptible d’influer sur le droit à des prestations AI (cf. avis du 11 avril 2023). L’avis contraire du Dr E _________ est insuffisant pour remettre en question l’appréciation du SMR et semble être influencé par le lien particulier qui le lie à son patient. On note d’ailleurs que le 14 avril 2022, soit après les interventions vasculaires, ce médecin traitant attestait pour l’assurance-chômage une pleine capacité de travail dans une activité adaptée et légère telle que définie par le SMR (cf. pièce OAI 249, p. 1033).</w:t>
      </w:r>
    </w:p>
    <w:p>
      <w:r>
        <w:rPr>
          <w:b/>
        </w:rPr>
        <w:t>E. 3.3</w:t>
      </w:r>
    </w:p>
    <w:p>
      <w:r>
        <w:t>Enfin, au niveau neurologique, un examen du 27 mai 2021 auprès du Dr I _________ a mis en évidence un discrète radiculopathie L5 bilatérale d’allure</w:t>
      </w:r>
    </w:p>
    <w:p>
      <w:r>
        <w:t>- 15 - chronique, ce médecin précisant qu’il s’agissait d’une atteinte mixte à la fois vasculaire et neurogène (pièce OAI 205, p. 500). Le 16 décembre 2021, un contrôle a également montré que le recourant ressentait encore des lombalgies et des douleurs au niveau des hanches qui limitaient son champ de déplacement (pièce OAI 198). Aucun élément au dossier ne permet cependant d’affirmer que la problématique neurologique se serait par la suite détériorée et qu’elle ne permettrait pas la reprise d’une activité adaptée, ne nécessitant notamment pas de déplacements. Une consultation spécialisée n’a en effet pas eu lieu par la suite, les troubles affectant le recourant étant principalement d’origine vasculaire. Lors de son hospitalisation en juillet 2022, un diagnostic neurologique n’a ainsi pas été retenu, le canal lombaire étroit L3-L5 ayant été noté sous « antécédents », et aucun suivi y relatif n’a été indiqué (pièce OAI 222). L’aspect neurologique a par ailleurs été pris en considération par le SMR qui a retenu qu’il n’entraînait pas de nouvelle limitation fonctionnelle et autorisait l’intéressé à effectuer des tâches simples et routinières, à l’instar de ce qu’il avait fait dans le domaine de la petite mécanique (cf. avis du 31 mai 2022 ; pièce OAI 199). En l’absence d’élément contraire, il convient de confirmer cette analyse.</w:t>
      </w:r>
    </w:p>
    <w:p>
      <w:r>
        <w:rPr>
          <w:b/>
        </w:rPr>
        <w:t>E. 3.4</w:t>
      </w:r>
    </w:p>
    <w:p>
      <w:r>
        <w:t>Dans ces circonstances, l’OAI pouvait valablement se fonder sur l’avis du SMR et retenir qu’une pleine capacité de travail était exigible du recourant dans une activité adaptée du 30 juillet 2019 au 10 novembre 2021, puis dès le 3 mars 2022.</w:t>
      </w:r>
    </w:p>
    <w:p>
      <w:r>
        <w:rPr>
          <w:b/>
        </w:rPr>
        <w:t>E. 4</w:t>
      </w:r>
    </w:p>
    <w:p>
      <w:r>
        <w:t>Dans un second grief, le recourant remet en cause son taux d’invalidité.</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art. 28a al. 1 aLAI et 25 aRAI).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4.1.1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w:t>
      </w:r>
    </w:p>
    <w:p>
      <w:r>
        <w:t>- 16 - l’employeur ou, à défaut, sur l’évolution des salaires nominaux (arrêt du Tribunal fédéral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135 V 297 consid. 5.1 et 134 V 322 consid. 4.1 ; arrêt du Tribunal fédéral 8C_589/2018 du 4 juillet 2019 consid. 6.2). Lorsque le revenu avant l'atteinte à la santé a été soumis à des fluctuations importantes à relativement court terme, il y a lieu de se baser sur le revenu moyen réalisé pendant une période assez longue (arrêts du Tribunal fédéral 8C_157/2023 du 10 août 2023 consid. 3.2, 9C_771/2017 du 29 mai 2018 consid. 3.6.1 et 9C_979/2012 du 26 mars 2013 consid. 4).</w:t>
      </w:r>
    </w:p>
    <w:p>
      <w:r>
        <w:rPr>
          <w:b/>
        </w:rPr>
        <w:t>E. 4.1.2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n'a pas repris d'activité lucrative après la survenance de l'atteinte à la santé ou alors aucune activité normalement exigible -, le revenu d'invalide peut être évalué sur la base de salaires fondés sur les données statistiques résultant de l'Enquête suisse sur la structure des salaires (ESS ; ATF 148 V 174, 135 V 297 consid. 5.2 et 129 V 472 consid. 4.2.1 ; arrêts du Tribunal fédéral 8C_171/2021 du 11 décembre 2021 consid. 3.3 et 4.3 et 9C_843/2015 du 7 avril 2016 consid. 5.2).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4.2</w:t>
      </w:r>
    </w:p>
    <w:p>
      <w:r>
        <w:t>Le Tribunal fédéral a considéré, pour des raisons liées au respect du principe constitutionnel de l'égalité de traitement, qu'il n'y avait pas lieu de tenir compte de</w:t>
      </w:r>
    </w:p>
    <w:p>
      <w:r>
        <w:t>- 17 - données salariales régionales, et à plus forte raison cantonales (arrêts du Tribunal fédéral 9C_535/2019 du 31 octobre 2019 consid. 4, 8C_744/2011 du 25 avril 2012 consid. 5.2 et les références, in SVR 2012 UV n° 26 p. 93 ; voir également arrêts du Tribunal fédéral I 820/06 du 4 septembre 2007 consid. 3.3 et U 75/03 du 12 octobre 2006 consid. 8, in SVR 2007 UV n° 17 p. 56). En outre, le caractère irréaliste des possibilités de travail doit découler de l'atteinte à la santé - puisqu'une telle atteinte est indispensable à la reconnaissance de l'invalidité (art.</w:t>
      </w:r>
    </w:p>
    <w:p>
      <w:r>
        <w:rPr>
          <w:b/>
        </w:rPr>
        <w:t>E. 4.3</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148 V 174 consid. 5, 129 V 472 consid. 4.2.3 et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126 V 75 consid. 6).</w:t>
      </w:r>
    </w:p>
    <w:p>
      <w:r>
        <w:rPr>
          <w:b/>
        </w:rPr>
        <w:t>E. 4.4</w:t>
      </w:r>
    </w:p>
    <w:p>
      <w:r>
        <w:t>Dans le cas d’espèce, le recourant conteste la détermination de son taux d’invalidité en se référant essentiellement à sa contestation du 4 juillet 2022.</w:t>
      </w:r>
    </w:p>
    <w:p>
      <w:r>
        <w:rPr>
          <w:b/>
        </w:rPr>
        <w:t>E. 4.4.1</w:t>
      </w:r>
    </w:p>
    <w:p>
      <w:r>
        <w:t>Premièrement s’agissant du revenu sans invalidité, on note que selon les fiches de salaires fournies par l’ancien employeur du recourant, le salaire annuel brut obtenu</w:t>
      </w:r>
    </w:p>
    <w:p>
      <w:r>
        <w:t>- 18 - par ce dernier dans son activité de maçon-guniteur variait fortement d’une année à une autre (43'156 fr. en 2014, 99'327 fr. en 2015, 65'853 fr. en 2016, 85'456 fr. en 2017 et 103’551 fr. en 2018 ; pièces OAI 10 et 205). Pour l’année 2018, le certificat de salaire indique par ailleurs un revenu inférieur de 93'088 fr. 55 (pièce OAI 205, p. 490). Ces indications divergent également d’avec les données ressortant de l’extrait du compte individuel de l’intéressé (39'435 fr. en 2014, 89'769 fr. en 2015, 71'349 fr. en 2016, 92'997 fr. en 2017 et 82'541 fr. en 2018 ; pièce OAI 207). Dans sa décision litigieuse, l’intimé s’est fondé sur les renseignements donnés par l’ancien employeur du recourant et le salaire horaire brut obtenu (32 fr.), compte tenu de l’horaire annuel fixé dans la convention collective de la construction (soit 2174 heures) et majoré de la part du 13ème salaire, pour aboutir à un revenu sans invalidité de 75'342 fr. 15 pour l’année 2018. Il a ensuite adapté ce montant à l’évolution nominale des salaires en 2019 pour aboutir à un revenu sans invalidité de 76'068 francs. L’intimé s’est à juste titre référé aux indications fournies par l’ancien employeur du recourant pour établir le plus concrètement possible le revenu sans invalidité qu’il aurait perçu avant l’atteinte, en l’adaptant toutefois à l’évolution vraisemblable jusqu’au moment de la naissance du droit éventuel à une rente d’invalidité (ATF 129 V 222 consid. 4.3.1). Il a en outre justement relevé que les indemnités de chômage n’avaient pas à être prises en considération dans la détermination du revenu sans invalidité (art. 25 al. 1 let. b RAI). Au vu des importantes fluctuations dans les revenus qu’obtenait le recourant, seule la prise en compte des salaires réalisés pendant une longue période - soit sur une valeur moyenne calculée sur plusieurs années – permet de pondérer les facteurs variables de la rétribution dans le temps et de refléter sa situation économique concrète (arrêt du Tribunal fédéral 9C_689/2018 du 8 février 2019 consid. 6.2.2). En établissant une moyenne des revenus obtenus entre 2015 et 2018 par le recourant (ce dernier n’ayant commencé son emploi qu’en septembre 2014), sur la base des chiffres contenus dans le relevé de compte individuel et sans tenir compte des indemnités de chômage, son salaire moyen se monte à 76'079 fr. 50 (= [89'769 + 55’522 + 77’909 + 81’118] / 4). Les revenus inscrits aux comptes individuels sont en effet présumés correspondre aux gains effectivement réalisés (arrêt du Tribunal fédéral 9C_771/2017 précité consid. 3.6.2) et aucun élément du dossier ne permet de renverser cette présomption. Du reste, on note que les fiches de salaires de l’ancien employeur du recourant comprennent des prestations exclues du revenu sans invalidité (art. 25 al. 1 let. a et b RAI), expliquant la différence avec les montants ressortant du compte individuel.</w:t>
      </w:r>
    </w:p>
    <w:p>
      <w:r>
        <w:t>- 19 - Par conséquent, après ajustement à l’augmentation nominale des salaires en 2019 (0.9% selon l’Office fédéral de la statistique), le revenu sans invalidité du recourant se montait en 2019 à 76'764 fr. 20 (= 76'079 fr. 50 x [100.9/100]).</w:t>
      </w:r>
    </w:p>
    <w:p>
      <w:r>
        <w:rPr>
          <w:b/>
        </w:rPr>
        <w:t>E. 4.4.2</w:t>
      </w:r>
    </w:p>
    <w:p>
      <w:r>
        <w:t>Le recourant remet également en cause son revenu d’invalide, plus particulièrement l’abattement de 10% opéré sur celui-ci avant sa réadaptation. A son avis, sa situation personnelle justifiait la déduction maximale de 25%. Il ne démontre cependant pas dans quelle mesure son profil entraînerait un désavantage sur ses perspectives salariales par rapport à un travailleur en bonne santé à un point tel que cela justifierait un abattement de 25%. Le taux retenu à 10% par l’OAI pour la période du 30 juillet 2019 au 2 mars 2022, dans le cadre de sa marge d’appréciation, tient par ailleurs suffisamment compte des circonstances d’espèce et particulièrement des limitations fonctionnelles du recourant. Durant cette période, ni son âge, ni son absence de formation ou d’expérience professionnelle, ni encore sa nationalité étrangère ne justifiaient en effet un abattement dans le cadre d’une activité légère et simple du niveau de compétence 1 (arrêts du Tribunal fédéral 9C_497/2020 du 25 juin 2021 consid. 5.2.2, 8C_175/2020 du 22 septembre 2020 consid. 4.2 et 9C_415/2010 du 10 mars 2011 consid. 3.3). Par conséquent, le taux d’abattement de 10% n’est pas remis en cause par des éléments suffisamment pertinents. Le revenu d’invalide de 61'538 fr. 90 a dès lors été déterminé conformément au système légal et à la jurisprudence y relative. Durant cette période, le taux d’invalidité du recourant se monte ainsi à 20% (perte de gain de 15'225 fr. 30 [76'764 fr. 20 – 61'538 fr. 90]). Par la suite, il a bénéficié d’une mesure de reclassement dans le domaine de la petite mécanique, raison pour laquelle l’intimé pouvait se baser sur le revenu pouvant être obtenu dans ce métier (Genre d’activité 28 selon la nomenclature générale des activités économiques [NOGA] de l’OFS). Cette activité étant adaptée à ses limitations fonctionnelles, un abattement à ce titre ne se justifie plus. En outre, ayant acquis une formation et une certaine expérience dans ce domaine, rien n’indique qu’il serait prétérité dans ses perspectives salariales dans un tel emploi. L’intimé n’a dès lors plus retenu d’abattement sur le revenu d’invalide du recourant, dès le 3 mars 2022. On relève cependant que le rapport de job-coaching du 10 mars 2022, retenant que les objectifs avaient été atteints malgré une interruption de travail pour des complications au niveau de l’artère de la jambe gauche, a indiqué que les performances du recourant avaient été évaluées entre 70 et 80% lorsqu’il était présent à l’atelier (pièce OAI 187). Cela étant, même en retenant une diminution du rendement de l’ordre de 30% (ce qui n’est pas attesté médicalement), le taux d’invalidité minimal de 40% pour ouvrir le droit à une rente</w:t>
      </w:r>
    </w:p>
    <w:p>
      <w:r>
        <w:t>- 20 - d’invalidité ne serait de toute manière pas atteint (perte de gain de 25'580 fr. correspondant à un degré d’invalidité de 32%).</w:t>
      </w:r>
    </w:p>
    <w:p>
      <w:r>
        <w:rPr>
          <w:b/>
        </w:rPr>
        <w:t>E. 4.4.3</w:t>
      </w:r>
    </w:p>
    <w:p>
      <w:r>
        <w:t>Au vu des éléments qui précèdent, le recourant ne présente pas la perte de gain nécessaire pour lui ouvrir le droit à une rente d’invalidité. Son recours du 30 janvier 2023 est dans ces conditions rejeté. 5. 5.1. La procédure de recours en matière de contestation portant sur l'octroi ou le refus de prestations de l'assurance-invalidité devant le tribunal cantonal des assurances est soumise à des frais judiciaires, dont le montant, fixé en fonction de la charge liée à la procédure, oscille entre 200 et 1000 francs (art. 61 let. fbis LPGA et art. 69 al. 1bis LAI). Eu égard à l’issue de la cause, les frais de justice, par 500 francs, au regard des principes de la couverture des coûts et de l’équivalence, sont mis à la charge du recourant qui succombe (art. 69 al. 1bis LAI). 5.2. Vu l’issue de la cause, il n’est pas alloué de dépens au recourant (art. 61 let. g a contrario LPGA), ni à l’intimé, lequel agit comme autorité chargée de tâches de droit public (art. 91 al. 3 LPGA ; ATF 126 V 143 consid. 4).</w:t>
      </w:r>
    </w:p>
    <w:p>
      <w:r>
        <w:t>Prononce</w:t>
      </w:r>
    </w:p>
    <w:p>
      <w:r>
        <w:t>1. Le recours est rejeté. 2. Il n’est pas alloué de dépens. 3. Les frais, par 500 francs, sont mis à la charge de X _________.</w:t>
      </w:r>
    </w:p>
    <w:p>
      <w:r>
        <w:t>Sion, le 14 octobre 2024.</w:t>
      </w:r>
    </w:p>
    <w:p>
      <w:r>
        <w:rPr>
          <w:b/>
        </w:rPr>
        <w:t>E. 7</w:t>
      </w:r>
    </w:p>
    <w:p>
      <w:r>
        <w:t>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du Tribunal fédéral 9C_286/2015 du 12 janvier 2016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